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ROSCI0303 Hârtibaciu Sud - Est</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ROSCI0303ZPB </w:t>
      </w:r>
      <w:r w:rsidDel="00000000" w:rsidR="00000000" w:rsidRPr="00000000">
        <w:rPr>
          <w:rtl w:val="0"/>
        </w:rPr>
      </w:r>
    </w:p>
    <w:p w:rsidR="00000000" w:rsidDel="00000000" w:rsidP="00000000" w:rsidRDefault="00000000" w:rsidRPr="00000000" w14:paraId="00000009">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1.2.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Zonă care să fie declarată ulterior</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1.3.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1.4.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5</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1.5. Responsabili</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 2030”.</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Datele indicării și desemnării ca ZPB </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2">
            <w:pPr>
              <w:rPr/>
            </w:pPr>
            <w:r w:rsidDel="00000000" w:rsidR="00000000" w:rsidRPr="00000000">
              <w:rPr>
                <w:sz w:val="22"/>
                <w:szCs w:val="22"/>
                <w:rtl w:val="0"/>
              </w:rPr>
              <w:t xml:space="preserve">Data desemnării ca ZPB :</w:t>
            </w:r>
            <w:r w:rsidDel="00000000" w:rsidR="00000000" w:rsidRPr="00000000">
              <w:rPr>
                <w:rtl w:val="0"/>
              </w:rPr>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 :</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Actele legislative premergătoare declarării ca ZPB  sunt menționate în cadrul secțiunii Documente relevante în raport cu ZPB .</w:t>
      </w:r>
      <w:r w:rsidDel="00000000" w:rsidR="00000000" w:rsidRPr="00000000">
        <w:rPr>
          <w:rtl w:val="0"/>
        </w:rPr>
      </w:r>
    </w:p>
    <w:p w:rsidR="00000000" w:rsidDel="00000000" w:rsidP="00000000" w:rsidRDefault="00000000" w:rsidRPr="00000000" w14:paraId="00000043">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189,37</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0,73%</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9">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F">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Brașov</w:t>
      </w: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Layout w:type="fixed"/>
        <w:tblLook w:val="0400"/>
      </w:tblPr>
      <w:tblGrid>
        <w:gridCol w:w="2928"/>
        <w:gridCol w:w="47"/>
        <w:gridCol w:w="3002"/>
        <w:gridCol w:w="46"/>
        <w:gridCol w:w="2957"/>
        <w:tblGridChange w:id="0">
          <w:tblGrid>
            <w:gridCol w:w="2928"/>
            <w:gridCol w:w="47"/>
            <w:gridCol w:w="3002"/>
            <w:gridCol w:w="46"/>
            <w:gridCol w:w="2957"/>
          </w:tblGrid>
        </w:tblGridChange>
      </w:tblGrid>
      <w:tr>
        <w:trPr>
          <w:cantSplit w:val="0"/>
          <w:tblHeader w:val="0"/>
        </w:trPr>
        <w:tc>
          <w:tcPr/>
          <w:p w:rsidR="00000000" w:rsidDel="00000000" w:rsidP="00000000" w:rsidRDefault="00000000" w:rsidRPr="00000000" w14:paraId="00000053">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8">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189,37</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spacing w:after="0" w:line="240" w:lineRule="auto"/>
        <w:rPr/>
      </w:pPr>
      <w:r w:rsidDel="00000000" w:rsidR="00000000" w:rsidRPr="00000000">
        <w:rPr>
          <w:sz w:val="22"/>
          <w:szCs w:val="22"/>
          <w:rtl w:val="0"/>
        </w:rPr>
        <w:t xml:space="preserve">Documente relevante în raport cu ZPB </w:t>
      </w:r>
      <w:r w:rsidDel="00000000" w:rsidR="00000000" w:rsidRPr="00000000">
        <w:rPr>
          <w:rtl w:val="0"/>
        </w:rPr>
      </w:r>
    </w:p>
    <w:p w:rsidR="00000000" w:rsidDel="00000000" w:rsidP="00000000" w:rsidRDefault="00000000" w:rsidRPr="00000000" w14:paraId="0000006D">
      <w:pPr>
        <w:spacing w:after="0" w:line="240" w:lineRule="auto"/>
        <w:rPr/>
      </w:pP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Decizia Comitetului Executiv al Consiliului Popular Județean nr. 421/1980:  Cotul Turzunului </w:t>
      </w:r>
    </w:p>
    <w:p w:rsidR="00000000" w:rsidDel="00000000" w:rsidP="00000000" w:rsidRDefault="00000000" w:rsidRPr="00000000" w14:paraId="0000006F">
      <w:pPr>
        <w:pBdr>
          <w:top w:color="000000" w:space="0" w:sz="6" w:val="single"/>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RONPA0271 Cotul Turzunului;</w:t>
      </w:r>
    </w:p>
    <w:p w:rsidR="00000000" w:rsidDel="00000000" w:rsidP="00000000" w:rsidRDefault="00000000" w:rsidRPr="00000000" w14:paraId="00000070">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 ministrului mediului, apelor și pădurilor nr. 116 6/2016 privind aprobarea Planului de management al ari ilor naturale protejate ROSPA0099 Podișul Hârtibaciul ui, ROSCI0227 Sighișoara-Târnava Mare, ROSCI0144 Pădurea de gorun și stejar de pe Dealul Purcărețului, R OSCI0143 Pădurea de gorun și stejar de la Dosul FCI01 3 Hârtibaciu, ROSCI0303 Hârtibaciu Sud-Est, ROSCI0 304 Hârtibaciu Sud-Vest, Rezervația Naturală „Stejarii seculari de la Breite municipiul Sighișoara“, Rezervația „Canionul Mihăileni“, „Rezervația de stejar pufos“ - sat Criș;</w:t>
      </w:r>
    </w:p>
    <w:p w:rsidR="00000000" w:rsidDel="00000000" w:rsidP="00000000" w:rsidRDefault="00000000" w:rsidRPr="00000000" w14:paraId="00000072">
      <w:pPr>
        <w:pBdr>
          <w:left w:color="000000" w:space="0" w:sz="6" w:val="single"/>
          <w:bottom w:color="000000" w:space="0" w:sz="6" w:val="single"/>
          <w:right w:color="000000" w:space="0" w:sz="6" w:val="single"/>
        </w:pBdr>
        <w:spacing w:after="0" w:line="240" w:lineRule="auto"/>
        <w:jc w:val="both"/>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73">
      <w:pPr>
        <w:spacing w:after="0" w:line="240" w:lineRule="auto"/>
        <w:rPr/>
      </w:pPr>
      <w:r w:rsidDel="00000000" w:rsidR="00000000" w:rsidRPr="00000000">
        <w:rPr>
          <w:rtl w:val="0"/>
        </w:rPr>
      </w:r>
    </w:p>
    <w:p w:rsidR="00000000" w:rsidDel="00000000" w:rsidP="00000000" w:rsidRDefault="00000000" w:rsidRPr="00000000" w14:paraId="00000074">
      <w:pPr>
        <w:spacing w:after="0" w:line="240" w:lineRule="auto"/>
        <w:rPr>
          <w:sz w:val="22"/>
          <w:szCs w:val="22"/>
        </w:rPr>
      </w:pPr>
      <w:r w:rsidDel="00000000" w:rsidR="00000000" w:rsidRPr="00000000">
        <w:rPr>
          <w:sz w:val="22"/>
          <w:szCs w:val="22"/>
          <w:rtl w:val="0"/>
        </w:rPr>
        <w:t xml:space="preserve">Informația ecologică</w:t>
      </w:r>
    </w:p>
    <w:tbl>
      <w:tblPr>
        <w:tblStyle w:val="Table8"/>
        <w:tblW w:w="8955.0" w:type="dxa"/>
        <w:jc w:val="left"/>
        <w:tblInd w:w="1.0" w:type="dxa"/>
        <w:tblLayout w:type="fixed"/>
        <w:tblLook w:val="0400"/>
      </w:tblPr>
      <w:tblGrid>
        <w:gridCol w:w="3951"/>
        <w:gridCol w:w="5004"/>
        <w:tblGridChange w:id="0">
          <w:tblGrid>
            <w:gridCol w:w="3951"/>
            <w:gridCol w:w="500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9">
            <w:pPr>
              <w:spacing w:after="0" w:line="240" w:lineRule="auto"/>
              <w:rPr>
                <w:sz w:val="22"/>
                <w:szCs w:val="22"/>
              </w:rPr>
            </w:pPr>
            <w:r w:rsidDel="00000000" w:rsidR="00000000" w:rsidRPr="00000000">
              <w:rPr>
                <w:i w:val="1"/>
                <w:iCs w:val="1"/>
                <w:sz w:val="22"/>
                <w:szCs w:val="22"/>
                <w:rtl w:val="0"/>
              </w:rPr>
              <w:t xml:space="preserve">91Y0 Păduri dacice de stejar şi carpen </w:t>
            </w:r>
            <w:r w:rsidDel="00000000" w:rsidR="00000000" w:rsidRPr="00000000">
              <w:rPr>
                <w:rtl w:val="0"/>
              </w:rPr>
            </w:r>
          </w:p>
          <w:p w:rsidR="00000000" w:rsidDel="00000000" w:rsidP="00000000" w:rsidRDefault="00000000" w:rsidRPr="00000000" w14:paraId="0000007A">
            <w:pPr>
              <w:spacing w:after="0" w:line="240" w:lineRule="auto"/>
              <w:rPr>
                <w:b w:val="1"/>
                <w:bCs w:val="1"/>
                <w:sz w:val="22"/>
                <w:szCs w:val="22"/>
              </w:rPr>
            </w:pPr>
            <w:r w:rsidDel="00000000" w:rsidR="00000000" w:rsidRPr="00000000">
              <w:rPr>
                <w:b w:val="1"/>
                <w:bCs w:val="1"/>
                <w:i w:val="1"/>
                <w:iCs w:val="1"/>
                <w:sz w:val="22"/>
                <w:szCs w:val="22"/>
                <w:rtl w:val="0"/>
              </w:rPr>
              <w:t xml:space="preserve">Habitate de pajiști xerofile seminaturale:</w:t>
            </w:r>
            <w:r w:rsidDel="00000000" w:rsidR="00000000" w:rsidRPr="00000000">
              <w:rPr>
                <w:rtl w:val="0"/>
              </w:rPr>
            </w:r>
          </w:p>
          <w:p w:rsidR="00000000" w:rsidDel="00000000" w:rsidP="00000000" w:rsidRDefault="00000000" w:rsidRPr="00000000" w14:paraId="0000007B">
            <w:pPr>
              <w:spacing w:after="0" w:line="240" w:lineRule="auto"/>
              <w:rPr>
                <w:sz w:val="22"/>
                <w:szCs w:val="22"/>
              </w:rPr>
            </w:pPr>
            <w:r w:rsidDel="00000000" w:rsidR="00000000" w:rsidRPr="00000000">
              <w:rPr>
                <w:i w:val="1"/>
                <w:iCs w:val="1"/>
                <w:sz w:val="22"/>
                <w:szCs w:val="22"/>
                <w:rtl w:val="0"/>
              </w:rPr>
              <w:t xml:space="preserve">6210* Pajişti mezoxerofile seminaturale şi facies cu tufişuri pe substrate calcaroase (Festuco-Brometalia) (* situri importante pentru orhidee)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240" w:lineRule="auto"/>
              <w:rPr>
                <w:sz w:val="22"/>
                <w:szCs w:val="22"/>
              </w:rPr>
            </w:pPr>
            <w:r w:rsidDel="00000000" w:rsidR="00000000" w:rsidRPr="00000000">
              <w:rPr>
                <w:b w:val="1"/>
                <w:bCs w:val="1"/>
                <w:sz w:val="22"/>
                <w:szCs w:val="22"/>
                <w:rtl w:val="0"/>
              </w:rPr>
              <w:t xml:space="preserve">Amfibieni</w:t>
            </w:r>
            <w:r w:rsidDel="00000000" w:rsidR="00000000" w:rsidRPr="00000000">
              <w:rPr>
                <w:sz w:val="22"/>
                <w:szCs w:val="22"/>
                <w:rtl w:val="0"/>
              </w:rPr>
              <w:t xml:space="preserve">:</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1193 Bombina variegata </w:t>
            </w:r>
          </w:p>
          <w:p w:rsidR="00000000" w:rsidDel="00000000" w:rsidP="00000000" w:rsidRDefault="00000000" w:rsidRPr="00000000" w14:paraId="0000007F">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0">
            <w:pPr>
              <w:spacing w:after="0" w:line="240" w:lineRule="auto"/>
              <w:rPr>
                <w:sz w:val="22"/>
                <w:szCs w:val="22"/>
              </w:rPr>
            </w:pPr>
            <w:r w:rsidDel="00000000" w:rsidR="00000000" w:rsidRPr="00000000">
              <w:rPr>
                <w:i w:val="1"/>
                <w:iCs w:val="1"/>
                <w:sz w:val="22"/>
                <w:szCs w:val="22"/>
                <w:rtl w:val="0"/>
              </w:rPr>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4">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85">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240" w:lineRule="auto"/>
              <w:jc w:val="both"/>
              <w:rPr>
                <w:sz w:val="22"/>
                <w:szCs w:val="22"/>
              </w:rPr>
            </w:pPr>
            <w:r w:rsidDel="00000000" w:rsidR="00000000" w:rsidRPr="00000000">
              <w:rPr>
                <w:sz w:val="22"/>
                <w:szCs w:val="22"/>
                <w:rtl w:val="0"/>
              </w:rPr>
              <w:t xml:space="preserve">A04 Pășunatul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rPr>
                <w:sz w:val="22"/>
                <w:szCs w:val="22"/>
              </w:rPr>
            </w:pPr>
            <w:r w:rsidDel="00000000" w:rsidR="00000000" w:rsidRPr="00000000">
              <w:rPr>
                <w:sz w:val="22"/>
                <w:szCs w:val="22"/>
                <w:rtl w:val="0"/>
              </w:rPr>
              <w:t xml:space="preserve">Obiective și măsuri de conservare</w:t>
            </w:r>
          </w:p>
          <w:p w:rsidR="00000000" w:rsidDel="00000000" w:rsidP="00000000" w:rsidRDefault="00000000" w:rsidRPr="00000000" w14:paraId="00000089">
            <w:pPr>
              <w:spacing w:after="0" w:line="240" w:lineRule="auto"/>
              <w:jc w:val="both"/>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8">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9">
            <w:pPr>
              <w:spacing w:after="0" w:line="240" w:lineRule="auto"/>
              <w:jc w:val="both"/>
              <w:rPr/>
            </w:pP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6">
            <w:pPr>
              <w:spacing w:after="0" w:line="240" w:lineRule="auto"/>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line="240" w:lineRule="auto"/>
              <w:rPr>
                <w:sz w:val="22"/>
                <w:szCs w:val="22"/>
              </w:rPr>
            </w:pPr>
            <w:r w:rsidDel="00000000" w:rsidR="00000000" w:rsidRPr="00000000">
              <w:rPr>
                <w:sz w:val="22"/>
                <w:szCs w:val="22"/>
                <w:rtl w:val="0"/>
              </w:rPr>
              <w:t xml:space="preserve">Tipul de proprietate (Opțional)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0" w:line="24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B9">
      <w:pPr>
        <w:spacing w:after="0" w:line="240" w:lineRule="auto"/>
        <w:rPr>
          <w:sz w:val="22"/>
          <w:szCs w:val="22"/>
        </w:rPr>
      </w:pPr>
      <w:r w:rsidDel="00000000" w:rsidR="00000000" w:rsidRPr="00000000">
        <w:rPr>
          <w:rtl w:val="0"/>
        </w:rPr>
      </w:r>
    </w:p>
    <w:p w:rsidR="00000000" w:rsidDel="00000000" w:rsidP="00000000" w:rsidRDefault="00000000" w:rsidRPr="00000000" w14:paraId="000000BA">
      <w:pPr>
        <w:spacing w:after="0" w:line="240" w:lineRule="auto"/>
        <w:rPr/>
      </w:pPr>
      <w:r w:rsidDel="00000000" w:rsidR="00000000" w:rsidRPr="00000000">
        <w:rPr>
          <w:rtl w:val="0"/>
        </w:rPr>
      </w:r>
    </w:p>
    <w:p w:rsidR="00000000" w:rsidDel="00000000" w:rsidP="00000000" w:rsidRDefault="00000000" w:rsidRPr="00000000" w14:paraId="000000BB">
      <w:pPr>
        <w:spacing w:after="0" w:line="240" w:lineRule="auto"/>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C">
      <w:pPr>
        <w:spacing w:after="0" w:line="240" w:lineRule="auto"/>
        <w:rPr/>
      </w:pPr>
      <w:r w:rsidDel="00000000" w:rsidR="00000000" w:rsidRPr="00000000">
        <w:rPr>
          <w:rtl w:val="0"/>
        </w:rPr>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Rajakaruna, D., Alhassan, S., &amp; Niță, M. D. (2026). Is forest structure better explained by present or historical forest cover? A case study in Brașov, Romania. Trees, Forests and People, 24</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Munteanu, C., Nita, M.D., Abrudan, I.V., Radeloff, V.C., 2016. Historical forest management in Romania is imposing strong legacies on  contemporary forests and their management. For. Ecol. Manage. 361, 179–193</w:t>
      </w:r>
    </w:p>
    <w:p w:rsidR="00000000" w:rsidDel="00000000" w:rsidP="00000000" w:rsidRDefault="00000000" w:rsidRPr="00000000" w14:paraId="000000BF">
      <w:pPr>
        <w:spacing w:after="0" w:line="240" w:lineRule="auto"/>
        <w:rPr/>
      </w:pPr>
      <w:r w:rsidDel="00000000" w:rsidR="00000000" w:rsidRPr="00000000">
        <w:rPr>
          <w:rtl w:val="0"/>
        </w:rPr>
      </w:r>
    </w:p>
    <w:p w:rsidR="00000000" w:rsidDel="00000000" w:rsidP="00000000" w:rsidRDefault="00000000" w:rsidRPr="00000000" w14:paraId="000000C0">
      <w:pPr>
        <w:spacing w:after="0" w:line="240" w:lineRule="auto"/>
        <w:rPr/>
      </w:pPr>
      <w:r w:rsidDel="00000000" w:rsidR="00000000" w:rsidRPr="00000000">
        <w:rPr>
          <w:rtl w:val="0"/>
        </w:rPr>
      </w:r>
    </w:p>
    <w:p w:rsidR="00000000" w:rsidDel="00000000" w:rsidP="00000000" w:rsidRDefault="00000000" w:rsidRPr="00000000" w14:paraId="000000C1">
      <w:pPr>
        <w:spacing w:after="0" w:line="24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2">
      <w:pPr>
        <w:spacing w:after="0" w:line="240" w:lineRule="auto"/>
        <w:rPr/>
      </w:pPr>
      <w:r w:rsidDel="00000000" w:rsidR="00000000" w:rsidRPr="00000000">
        <w:rPr>
          <w:rtl w:val="0"/>
        </w:rPr>
      </w:r>
    </w:p>
    <w:p w:rsidR="00000000" w:rsidDel="00000000" w:rsidP="00000000" w:rsidRDefault="00000000" w:rsidRPr="00000000" w14:paraId="000000C3">
      <w:pPr>
        <w:spacing w:after="0" w:line="24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C4">
      <w:pPr>
        <w:spacing w:after="0" w:line="240" w:lineRule="auto"/>
        <w:rPr>
          <w:sz w:val="22"/>
          <w:szCs w:val="22"/>
        </w:rPr>
      </w:pPr>
      <w:r w:rsidDel="00000000" w:rsidR="00000000" w:rsidRPr="00000000">
        <w:rPr>
          <w:rtl w:val="0"/>
        </w:rPr>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Consultări publice realizate: 26 septembrie 2024 – Brașov. Ulterior, în cadrul procesului de consultare extins la nivel național, au avut loc consultări suplimentare online în data de 11 decembrie 2025 cu participarea factorilor interesați relevanți din județul Brașov, apoi consultări publice la Prefectura Brașov în perioada 6-18 februarie 2026. </w:t>
      </w:r>
    </w:p>
    <w:p w:rsidR="00000000" w:rsidDel="00000000" w:rsidP="00000000" w:rsidRDefault="00000000" w:rsidRPr="00000000" w14:paraId="000000C6">
      <w:pPr>
        <w:spacing w:after="0" w:line="240" w:lineRule="auto"/>
        <w:rPr>
          <w:sz w:val="22"/>
          <w:szCs w:val="22"/>
        </w:rPr>
      </w:pPr>
      <w:r w:rsidDel="00000000" w:rsidR="00000000" w:rsidRPr="00000000">
        <w:rPr>
          <w:rtl w:val="0"/>
        </w:rPr>
      </w:r>
    </w:p>
    <w:p w:rsidR="00000000" w:rsidDel="00000000" w:rsidP="00000000" w:rsidRDefault="00000000" w:rsidRPr="00000000" w14:paraId="000000C7">
      <w:pPr>
        <w:spacing w:after="0" w:line="240" w:lineRule="auto"/>
        <w:rPr>
          <w:sz w:val="22"/>
          <w:szCs w:val="22"/>
        </w:rPr>
      </w:pPr>
      <w:r w:rsidDel="00000000" w:rsidR="00000000" w:rsidRPr="00000000">
        <w:rPr>
          <w:rtl w:val="0"/>
        </w:rPr>
      </w:r>
    </w:p>
    <w:p w:rsidR="00000000" w:rsidDel="00000000" w:rsidP="00000000" w:rsidRDefault="00000000" w:rsidRPr="00000000" w14:paraId="000000C8">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9">
      <w:pPr>
        <w:jc w:val="cente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A">
      <w:pPr>
        <w:jc w:val="cente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ofX4qF6k8FpoI5nOd4jQog39sw==">CgMxLjA4AHIhMW1LOWo4eEhrV0x1NF9QU1phQzJManFsdmJqYk40aldL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